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891E" w14:textId="37141DDE" w:rsidR="00CF1B2D" w:rsidRPr="00DC65F8" w:rsidRDefault="00DC65F8" w:rsidP="008C0653">
      <w:pPr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5F8">
        <w:rPr>
          <w:rFonts w:ascii="Times New Roman" w:hAnsi="Times New Roman" w:cs="Times New Roman"/>
          <w:b/>
          <w:bCs/>
          <w:sz w:val="24"/>
          <w:szCs w:val="24"/>
        </w:rPr>
        <w:t xml:space="preserve">Памятка по </w:t>
      </w:r>
      <w:r w:rsidR="00186B35" w:rsidRPr="00186B35">
        <w:rPr>
          <w:rFonts w:ascii="Times New Roman" w:hAnsi="Times New Roman" w:cs="Times New Roman"/>
          <w:b/>
          <w:bCs/>
          <w:sz w:val="24"/>
          <w:szCs w:val="24"/>
        </w:rPr>
        <w:t>привлечению заемных финансовых ресурсов</w:t>
      </w:r>
      <w:r w:rsidRPr="00DC65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54021E" w14:textId="04F95754" w:rsidR="00DC65F8" w:rsidRDefault="00DC65F8" w:rsidP="008C0653">
      <w:pPr>
        <w:pStyle w:val="228bf8a64b8551e1msonormal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-426" w:firstLine="567"/>
        <w:jc w:val="both"/>
      </w:pPr>
      <w:r>
        <w:t>При возникновении потребности в привлечении заемных финансовых ресурсов СМСП должен определить:</w:t>
      </w:r>
    </w:p>
    <w:p w14:paraId="22C85762" w14:textId="73CF580C" w:rsidR="00DC65F8" w:rsidRDefault="00DC65F8" w:rsidP="008C0653">
      <w:pPr>
        <w:pStyle w:val="228bf8a64b8551e1msonormal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-426"/>
        <w:jc w:val="both"/>
      </w:pPr>
      <w:r>
        <w:t>- сумму кредита;</w:t>
      </w:r>
    </w:p>
    <w:p w14:paraId="6BD090F8" w14:textId="4241DD8D" w:rsidR="00DC65F8" w:rsidRDefault="00DC65F8" w:rsidP="008C0653">
      <w:pPr>
        <w:pStyle w:val="228bf8a64b8551e1msonormal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-426"/>
        <w:jc w:val="both"/>
      </w:pPr>
      <w:r>
        <w:t>- цель привлечения кредита;</w:t>
      </w:r>
    </w:p>
    <w:p w14:paraId="08CE3F67" w14:textId="2D3F4DEE" w:rsidR="00DC65F8" w:rsidRDefault="00DC65F8" w:rsidP="008C0653">
      <w:pPr>
        <w:pStyle w:val="228bf8a64b8551e1msonormal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-426"/>
        <w:jc w:val="both"/>
      </w:pPr>
      <w:r>
        <w:t>- возможное обеспечение</w:t>
      </w:r>
      <w:r w:rsidR="00186B35">
        <w:t>;</w:t>
      </w:r>
    </w:p>
    <w:p w14:paraId="30074C5A" w14:textId="62F41AA1" w:rsidR="00DC65F8" w:rsidRDefault="00DC65F8" w:rsidP="008C0653">
      <w:pPr>
        <w:pStyle w:val="228bf8a64b8551e1msonormal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-426"/>
        <w:jc w:val="both"/>
      </w:pPr>
      <w:r>
        <w:t>- источники погашения кредита</w:t>
      </w:r>
      <w:r w:rsidR="00186B35">
        <w:t>;</w:t>
      </w:r>
    </w:p>
    <w:p w14:paraId="44EE93A2" w14:textId="0511FA8C" w:rsidR="00186B35" w:rsidRDefault="00186B35" w:rsidP="008C0653">
      <w:pPr>
        <w:pStyle w:val="228bf8a64b8551e1msonormal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-426"/>
        <w:jc w:val="both"/>
      </w:pPr>
      <w:r>
        <w:t>- варианты привлечения заемного финансирования</w:t>
      </w:r>
      <w:r w:rsidR="003A61F7">
        <w:t>;</w:t>
      </w:r>
    </w:p>
    <w:p w14:paraId="3ECD5E69" w14:textId="1F71710F" w:rsidR="003A61F7" w:rsidRDefault="003A61F7" w:rsidP="008C0653">
      <w:pPr>
        <w:pStyle w:val="228bf8a64b8551e1msonormal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-426"/>
        <w:jc w:val="both"/>
      </w:pPr>
      <w:r>
        <w:t>- наличие стоп-факторов</w:t>
      </w:r>
      <w:r w:rsidRPr="003A61F7">
        <w:t xml:space="preserve"> при кредитовании</w:t>
      </w:r>
      <w:r>
        <w:t>.</w:t>
      </w:r>
    </w:p>
    <w:p w14:paraId="3F49A8C0" w14:textId="29B44AD6" w:rsidR="00186B35" w:rsidRPr="008C0653" w:rsidRDefault="008C0653" w:rsidP="008C0653">
      <w:pPr>
        <w:pStyle w:val="228bf8a64b8551e1msonormal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-426"/>
        <w:jc w:val="both"/>
        <w:rPr>
          <w:b/>
          <w:bCs/>
        </w:rPr>
      </w:pPr>
      <w:r w:rsidRPr="008C0653">
        <w:rPr>
          <w:b/>
          <w:bCs/>
        </w:rPr>
        <w:t>Вариант привлечения обеспечения</w:t>
      </w:r>
      <w:r>
        <w:rPr>
          <w:b/>
          <w:bCs/>
        </w:rPr>
        <w:t xml:space="preserve"> при его недостатке</w:t>
      </w:r>
      <w:r w:rsidRPr="008C0653">
        <w:rPr>
          <w:b/>
          <w:bCs/>
        </w:rPr>
        <w:t>:</w:t>
      </w:r>
    </w:p>
    <w:p w14:paraId="5FB378C3" w14:textId="5A711EFA" w:rsidR="008C0653" w:rsidRDefault="008C0653" w:rsidP="008C0653">
      <w:pPr>
        <w:pStyle w:val="228bf8a64b8551e1msonormal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-426"/>
        <w:jc w:val="both"/>
      </w:pPr>
      <w:r>
        <w:t xml:space="preserve">- </w:t>
      </w:r>
      <w:r w:rsidRPr="008C0653">
        <w:t xml:space="preserve">Фонд содействия кредитованию малого и среднего бизнеса </w:t>
      </w:r>
      <w:r>
        <w:t>«</w:t>
      </w:r>
      <w:r w:rsidRPr="008C0653">
        <w:t>Югорская региональная гарантийная организация</w:t>
      </w:r>
      <w:r>
        <w:t>»</w:t>
      </w:r>
      <w:r w:rsidRPr="008C0653">
        <w:t> </w:t>
      </w:r>
      <w:r>
        <w:t xml:space="preserve"> </w:t>
      </w:r>
      <w:hyperlink r:id="rId5" w:history="1">
        <w:r w:rsidRPr="00A166FC">
          <w:rPr>
            <w:rStyle w:val="a3"/>
          </w:rPr>
          <w:t>https://sb-ugra.ru/</w:t>
        </w:r>
      </w:hyperlink>
      <w:r>
        <w:t>.</w:t>
      </w:r>
    </w:p>
    <w:p w14:paraId="0DCDBF28" w14:textId="375AFC9D" w:rsidR="00186B35" w:rsidRPr="009D3C42" w:rsidRDefault="00186B35" w:rsidP="008C0653">
      <w:pPr>
        <w:pStyle w:val="228bf8a64b8551e1msonormal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-426"/>
        <w:jc w:val="both"/>
        <w:rPr>
          <w:b/>
          <w:bCs/>
        </w:rPr>
      </w:pPr>
      <w:r w:rsidRPr="009D3C42">
        <w:rPr>
          <w:b/>
          <w:bCs/>
        </w:rPr>
        <w:t>Варианты привлечения заемного финансирования:</w:t>
      </w:r>
    </w:p>
    <w:p w14:paraId="04E1B663" w14:textId="586D7F3D" w:rsidR="00186B35" w:rsidRDefault="00186B35" w:rsidP="008C0653">
      <w:pPr>
        <w:pStyle w:val="228bf8a64b8551e1msonormal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-426"/>
        <w:jc w:val="both"/>
      </w:pPr>
      <w:r>
        <w:t xml:space="preserve">- </w:t>
      </w:r>
      <w:r w:rsidR="009D3C42">
        <w:t xml:space="preserve">Фонд Югорская региональная микрокредитная компания </w:t>
      </w:r>
      <w:hyperlink r:id="rId6" w:history="1">
        <w:r w:rsidR="009D3C42" w:rsidRPr="00A166FC">
          <w:rPr>
            <w:rStyle w:val="a3"/>
          </w:rPr>
          <w:t>https://fundmicro86.ru/</w:t>
        </w:r>
      </w:hyperlink>
      <w:r w:rsidR="009D3C42">
        <w:t xml:space="preserve"> до 5 млн. руб.;</w:t>
      </w:r>
    </w:p>
    <w:p w14:paraId="01687D73" w14:textId="00126CD3" w:rsidR="009D3C42" w:rsidRDefault="009D3C42" w:rsidP="008C0653">
      <w:pPr>
        <w:pStyle w:val="228bf8a64b8551e1msonormal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-426"/>
        <w:jc w:val="both"/>
      </w:pPr>
      <w:r>
        <w:t xml:space="preserve">- Фонд развития Югры </w:t>
      </w:r>
      <w:hyperlink r:id="rId7" w:history="1">
        <w:r w:rsidRPr="00A166FC">
          <w:rPr>
            <w:rStyle w:val="a3"/>
          </w:rPr>
          <w:t>https://fondugra.ru/</w:t>
        </w:r>
      </w:hyperlink>
      <w:r>
        <w:t>;</w:t>
      </w:r>
    </w:p>
    <w:p w14:paraId="4C6D43EF" w14:textId="07A3DC49" w:rsidR="009D3C42" w:rsidRDefault="009D3C42" w:rsidP="008C0653">
      <w:pPr>
        <w:pStyle w:val="228bf8a64b8551e1msonormal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-426"/>
        <w:jc w:val="both"/>
      </w:pPr>
      <w:r>
        <w:t>- коммерческие банки</w:t>
      </w:r>
      <w:r w:rsidR="003A61F7">
        <w:t xml:space="preserve"> (самостоятельное обращение);</w:t>
      </w:r>
    </w:p>
    <w:p w14:paraId="35D6E602" w14:textId="7C623400" w:rsidR="003A61F7" w:rsidRDefault="003A61F7" w:rsidP="008C0653">
      <w:pPr>
        <w:pStyle w:val="228bf8a64b8551e1msonormal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-426"/>
        <w:jc w:val="both"/>
      </w:pPr>
      <w:r>
        <w:t>- коммерческие банки (обращение через Фонд «Мой Бизнес»</w:t>
      </w:r>
      <w:r w:rsidR="00A828A3">
        <w:t xml:space="preserve">: </w:t>
      </w:r>
      <w:r w:rsidR="00A828A3" w:rsidRPr="00A828A3">
        <w:t>https://xn--90aefhe5axg6g1a.xn--p1ai/support/2026</w:t>
      </w:r>
      <w:r w:rsidR="00A828A3">
        <w:t>)</w:t>
      </w:r>
    </w:p>
    <w:p w14:paraId="23CF1D7C" w14:textId="5E0AFC84" w:rsidR="00DC65F8" w:rsidRPr="009D3C42" w:rsidRDefault="009D3C42" w:rsidP="008C0653">
      <w:pPr>
        <w:pStyle w:val="228bf8a64b8551e1msonormal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-426"/>
        <w:jc w:val="both"/>
        <w:rPr>
          <w:b/>
          <w:bCs/>
        </w:rPr>
      </w:pPr>
      <w:r w:rsidRPr="009D3C42">
        <w:rPr>
          <w:b/>
          <w:bCs/>
        </w:rPr>
        <w:t xml:space="preserve">Основными стоп-факторами </w:t>
      </w:r>
      <w:bookmarkStart w:id="0" w:name="_Hlk148367985"/>
      <w:r>
        <w:rPr>
          <w:b/>
          <w:bCs/>
        </w:rPr>
        <w:t xml:space="preserve">при кредитовании </w:t>
      </w:r>
      <w:bookmarkEnd w:id="0"/>
      <w:r>
        <w:rPr>
          <w:b/>
          <w:bCs/>
        </w:rPr>
        <w:t>являются:</w:t>
      </w:r>
    </w:p>
    <w:p w14:paraId="32911E6B" w14:textId="5E3F207A" w:rsidR="00DC65F8" w:rsidRPr="00DC65F8" w:rsidRDefault="00DC65F8" w:rsidP="008C0653">
      <w:pPr>
        <w:pStyle w:val="228bf8a64b8551e1msonormal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-426" w:firstLine="425"/>
        <w:jc w:val="both"/>
      </w:pPr>
      <w:r w:rsidRPr="00DC65F8">
        <w:t>Низкая кредитоспособность, в том числе: убыточная деятельность; высокий уровень долговой нагрузки; наличие действующих исков / арбитражных (судебных) процессов в отношении заемщика / группы компаний, превышающих 50% стоимости активов заемщиков/ группы компаний; наличие на момент предоставления кредитных средств просроченной задолженности перед бюджетом</w:t>
      </w:r>
      <w:r w:rsidR="005F3EA3">
        <w:t xml:space="preserve"> </w:t>
      </w:r>
      <w:r w:rsidRPr="00DC65F8">
        <w:t>и внебюджетными фондами.</w:t>
      </w:r>
    </w:p>
    <w:p w14:paraId="0448BAA1" w14:textId="77777777" w:rsidR="00DC65F8" w:rsidRPr="00DC65F8" w:rsidRDefault="00DC65F8" w:rsidP="008C0653">
      <w:pPr>
        <w:pStyle w:val="228bf8a64b8551e1msonormal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-426" w:firstLine="425"/>
        <w:jc w:val="both"/>
      </w:pPr>
      <w:r w:rsidRPr="00DC65F8">
        <w:t>Недостаточная диверсификация деятельности, например, зависимость от одного контрагента – покупателя/поставщика работ / услуг.</w:t>
      </w:r>
    </w:p>
    <w:p w14:paraId="752C5819" w14:textId="77777777" w:rsidR="00DC65F8" w:rsidRPr="00DC65F8" w:rsidRDefault="00DC65F8" w:rsidP="008C0653">
      <w:pPr>
        <w:pStyle w:val="228bf8a64b8551e1msonormal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-426" w:firstLine="425"/>
        <w:jc w:val="both"/>
      </w:pPr>
      <w:r w:rsidRPr="00DC65F8">
        <w:t>Наличие негативной информации о деловой репутации заемщика / группы компаний, в том числе отрицательная кредитная история участников сделки (заемщика, поручителя, залогодателя).</w:t>
      </w:r>
    </w:p>
    <w:p w14:paraId="413CBE54" w14:textId="77777777" w:rsidR="00DC65F8" w:rsidRPr="00DC65F8" w:rsidRDefault="00DC65F8" w:rsidP="008C0653">
      <w:pPr>
        <w:pStyle w:val="228bf8a64b8551e1msonormal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-426" w:firstLine="425"/>
        <w:jc w:val="both"/>
      </w:pPr>
      <w:r w:rsidRPr="00DC65F8">
        <w:t>Срок фактического ведения деятельности составляет менее 6 месяцев.</w:t>
      </w:r>
    </w:p>
    <w:p w14:paraId="525E711C" w14:textId="77777777" w:rsidR="00DC65F8" w:rsidRPr="00DC65F8" w:rsidRDefault="00DC65F8" w:rsidP="008C0653">
      <w:pPr>
        <w:pStyle w:val="228bf8a64b8551e1msonormal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-426" w:firstLine="425"/>
        <w:jc w:val="both"/>
      </w:pPr>
      <w:r w:rsidRPr="00DC65F8">
        <w:t xml:space="preserve">Отказ в раскрытии полной информации о деятельности заемщика / группы компаний, в том числе предоставление не полного пакета документов для рассмотрения заявки на кредит. </w:t>
      </w:r>
    </w:p>
    <w:p w14:paraId="74D3421D" w14:textId="09E777E0" w:rsidR="00DC65F8" w:rsidRPr="008C0653" w:rsidRDefault="00DC65F8" w:rsidP="008C0653">
      <w:pPr>
        <w:pStyle w:val="228bf8a64b8551e1msonormal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-426" w:firstLine="425"/>
        <w:jc w:val="both"/>
      </w:pPr>
      <w:r w:rsidRPr="00DC65F8">
        <w:t xml:space="preserve">Не достаточный уровень обеспеченности кредита, в том числе отказ в предоставлении поручительства собственников бизнеса, залогодателей и/или организаций, входящих в группу компаний заемщика. </w:t>
      </w:r>
    </w:p>
    <w:sectPr w:rsidR="00DC65F8" w:rsidRPr="008C0653" w:rsidSect="00870C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D3861"/>
    <w:multiLevelType w:val="hybridMultilevel"/>
    <w:tmpl w:val="D24C57B0"/>
    <w:lvl w:ilvl="0" w:tplc="C730206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75" w:hanging="360"/>
      </w:pPr>
    </w:lvl>
    <w:lvl w:ilvl="2" w:tplc="0419001B">
      <w:start w:val="1"/>
      <w:numFmt w:val="lowerRoman"/>
      <w:lvlText w:val="%3."/>
      <w:lvlJc w:val="right"/>
      <w:pPr>
        <w:ind w:left="2095" w:hanging="180"/>
      </w:pPr>
    </w:lvl>
    <w:lvl w:ilvl="3" w:tplc="0419000F">
      <w:start w:val="1"/>
      <w:numFmt w:val="decimal"/>
      <w:lvlText w:val="%4."/>
      <w:lvlJc w:val="left"/>
      <w:pPr>
        <w:ind w:left="2815" w:hanging="360"/>
      </w:pPr>
    </w:lvl>
    <w:lvl w:ilvl="4" w:tplc="04190019">
      <w:start w:val="1"/>
      <w:numFmt w:val="lowerLetter"/>
      <w:lvlText w:val="%5."/>
      <w:lvlJc w:val="left"/>
      <w:pPr>
        <w:ind w:left="3535" w:hanging="360"/>
      </w:pPr>
    </w:lvl>
    <w:lvl w:ilvl="5" w:tplc="0419001B">
      <w:start w:val="1"/>
      <w:numFmt w:val="lowerRoman"/>
      <w:lvlText w:val="%6."/>
      <w:lvlJc w:val="right"/>
      <w:pPr>
        <w:ind w:left="4255" w:hanging="180"/>
      </w:pPr>
    </w:lvl>
    <w:lvl w:ilvl="6" w:tplc="0419000F">
      <w:start w:val="1"/>
      <w:numFmt w:val="decimal"/>
      <w:lvlText w:val="%7."/>
      <w:lvlJc w:val="left"/>
      <w:pPr>
        <w:ind w:left="4975" w:hanging="360"/>
      </w:pPr>
    </w:lvl>
    <w:lvl w:ilvl="7" w:tplc="04190019">
      <w:start w:val="1"/>
      <w:numFmt w:val="lowerLetter"/>
      <w:lvlText w:val="%8."/>
      <w:lvlJc w:val="left"/>
      <w:pPr>
        <w:ind w:left="5695" w:hanging="360"/>
      </w:pPr>
    </w:lvl>
    <w:lvl w:ilvl="8" w:tplc="0419001B">
      <w:start w:val="1"/>
      <w:numFmt w:val="lowerRoman"/>
      <w:lvlText w:val="%9."/>
      <w:lvlJc w:val="right"/>
      <w:pPr>
        <w:ind w:left="6415" w:hanging="180"/>
      </w:pPr>
    </w:lvl>
  </w:abstractNum>
  <w:num w:numId="1" w16cid:durableId="308361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F8"/>
    <w:rsid w:val="000364F8"/>
    <w:rsid w:val="00141991"/>
    <w:rsid w:val="00186B35"/>
    <w:rsid w:val="00310650"/>
    <w:rsid w:val="003A61F7"/>
    <w:rsid w:val="005C2274"/>
    <w:rsid w:val="005F3EA3"/>
    <w:rsid w:val="00870C6C"/>
    <w:rsid w:val="008C0653"/>
    <w:rsid w:val="009D3C42"/>
    <w:rsid w:val="00A62F2D"/>
    <w:rsid w:val="00A828A3"/>
    <w:rsid w:val="00CF1B2D"/>
    <w:rsid w:val="00D319B3"/>
    <w:rsid w:val="00DC65F8"/>
    <w:rsid w:val="00E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CB54"/>
  <w15:chartTrackingRefBased/>
  <w15:docId w15:val="{26DCC56D-600C-4E54-8C45-3930E9E4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DC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9D3C4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3C42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5C227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C227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C227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C22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C22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5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ndugr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ndmicro86.ru/" TargetMode="External"/><Relationship Id="rId5" Type="http://schemas.openxmlformats.org/officeDocument/2006/relationships/hyperlink" Target="https://sb-ugr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Самкова Анастасия Вячеславовна</dc:creator>
  <cp:keywords/>
  <dc:description/>
  <cp:lastModifiedBy>Tatiana Ziubina</cp:lastModifiedBy>
  <cp:revision>13</cp:revision>
  <dcterms:created xsi:type="dcterms:W3CDTF">2023-10-16T11:33:00Z</dcterms:created>
  <dcterms:modified xsi:type="dcterms:W3CDTF">2023-10-19T07:33:00Z</dcterms:modified>
</cp:coreProperties>
</file>